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C3" w:rsidRPr="00FC51B9" w:rsidRDefault="00FC51B9">
      <w:pPr>
        <w:rPr>
          <w:rFonts w:ascii="微软雅黑" w:eastAsia="微软雅黑" w:hAnsi="微软雅黑" w:hint="eastAsia"/>
          <w:sz w:val="36"/>
          <w:szCs w:val="36"/>
        </w:rPr>
      </w:pPr>
      <w:r w:rsidRPr="00FC51B9">
        <w:rPr>
          <w:rFonts w:ascii="微软雅黑" w:eastAsia="微软雅黑" w:hAnsi="微软雅黑" w:hint="eastAsia"/>
          <w:sz w:val="36"/>
          <w:szCs w:val="36"/>
        </w:rPr>
        <w:t>力士乐 同步直线电机ML3 带铁芯</w:t>
      </w:r>
    </w:p>
    <w:p w:rsidR="00FC51B9" w:rsidRPr="00FC51B9" w:rsidRDefault="00FC51B9">
      <w:pPr>
        <w:rPr>
          <w:rFonts w:ascii="微软雅黑" w:eastAsia="微软雅黑" w:hAnsi="微软雅黑" w:hint="eastAsia"/>
          <w:sz w:val="18"/>
          <w:szCs w:val="18"/>
        </w:rPr>
      </w:pPr>
      <w:r w:rsidRPr="00FC51B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7582BF0B" wp14:editId="33E80348">
            <wp:extent cx="280987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力士乐 同步直线电机ML3 带铁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23" cy="280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1B9" w:rsidRPr="00FC51B9" w:rsidRDefault="00FC51B9" w:rsidP="00FC51B9">
      <w:pPr>
        <w:pStyle w:val="a4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FC51B9">
        <w:rPr>
          <w:rFonts w:ascii="微软雅黑" w:eastAsia="微软雅黑" w:hAnsi="微软雅黑"/>
          <w:color w:val="333333"/>
          <w:sz w:val="18"/>
          <w:szCs w:val="18"/>
        </w:rPr>
        <w:t>ML3系列的自冷却铁芯直线电动机在较小的安装空间中提供了很大的力。它们的进给力高达4,500 N，公称力高达1,900N。</w:t>
      </w:r>
    </w:p>
    <w:p w:rsidR="00FC51B9" w:rsidRPr="00FC51B9" w:rsidRDefault="00FC51B9" w:rsidP="00FC51B9">
      <w:pPr>
        <w:pStyle w:val="a4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FC51B9">
        <w:rPr>
          <w:rFonts w:ascii="微软雅黑" w:eastAsia="微软雅黑" w:hAnsi="微软雅黑"/>
          <w:color w:val="333333"/>
          <w:sz w:val="18"/>
          <w:szCs w:val="18"/>
        </w:rPr>
        <w:t>特别紧凑的设计和极高的功率密度使ML3电机与众不同。由于其节省空间的机电设计，即使安装空间特别有限，也可以使用这些线性电动机。</w:t>
      </w:r>
    </w:p>
    <w:p w:rsidR="00FC51B9" w:rsidRPr="00FC51B9" w:rsidRDefault="00FC51B9" w:rsidP="00FC51B9">
      <w:pPr>
        <w:pStyle w:val="a4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FC51B9">
        <w:rPr>
          <w:rFonts w:ascii="微软雅黑" w:eastAsia="微软雅黑" w:hAnsi="微软雅黑"/>
          <w:color w:val="333333"/>
          <w:sz w:val="18"/>
          <w:szCs w:val="18"/>
        </w:rPr>
        <w:t>电机的高同步质量归因于其最小的齿槽效应力和由此产生</w:t>
      </w:r>
      <w:proofErr w:type="gramStart"/>
      <w:r w:rsidRPr="00FC51B9">
        <w:rPr>
          <w:rFonts w:ascii="微软雅黑" w:eastAsia="微软雅黑" w:hAnsi="微软雅黑"/>
          <w:color w:val="333333"/>
          <w:sz w:val="18"/>
          <w:szCs w:val="18"/>
        </w:rPr>
        <w:t>的低力波动</w:t>
      </w:r>
      <w:proofErr w:type="gramEnd"/>
      <w:r w:rsidRPr="00FC51B9">
        <w:rPr>
          <w:rFonts w:ascii="微软雅黑" w:eastAsia="微软雅黑" w:hAnsi="微软雅黑"/>
          <w:color w:val="333333"/>
          <w:sz w:val="18"/>
          <w:szCs w:val="18"/>
        </w:rPr>
        <w:t>，以及其他影响。</w:t>
      </w:r>
    </w:p>
    <w:p w:rsidR="00FC51B9" w:rsidRPr="00FC51B9" w:rsidRDefault="00FC51B9" w:rsidP="00FC51B9">
      <w:pPr>
        <w:pStyle w:val="a4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FC51B9">
        <w:rPr>
          <w:rFonts w:ascii="微软雅黑" w:eastAsia="微软雅黑" w:hAnsi="微软雅黑"/>
          <w:color w:val="333333"/>
          <w:sz w:val="18"/>
          <w:szCs w:val="18"/>
        </w:rPr>
        <w:t>它们设计为自冷式电机系列，可以放弃机器的冷却剂系统，从而简化了安装过程。</w:t>
      </w:r>
    </w:p>
    <w:p w:rsidR="00FC51B9" w:rsidRPr="00FC51B9" w:rsidRDefault="00FC51B9" w:rsidP="00FC51B9">
      <w:pPr>
        <w:pStyle w:val="a4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FC51B9">
        <w:rPr>
          <w:rFonts w:ascii="微软雅黑" w:eastAsia="微软雅黑" w:hAnsi="微软雅黑"/>
          <w:color w:val="333333"/>
          <w:sz w:val="18"/>
          <w:szCs w:val="18"/>
        </w:rPr>
        <w:t>ML3系列的同步线性电动机是传统滚珠丝杠的高输出直接驱动替代产品。借助更少的易损件，更高的机械刚度以及最大的定位精度和动态性，它们为工厂自动化的显着产量增长做出了贡献。</w:t>
      </w:r>
    </w:p>
    <w:p w:rsidR="00FC51B9" w:rsidRPr="00FC51B9" w:rsidRDefault="00FC51B9" w:rsidP="00FC51B9">
      <w:pPr>
        <w:pStyle w:val="a4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FC51B9">
        <w:rPr>
          <w:rFonts w:ascii="微软雅黑" w:eastAsia="微软雅黑" w:hAnsi="微软雅黑"/>
          <w:color w:val="333333"/>
          <w:sz w:val="18"/>
          <w:szCs w:val="18"/>
        </w:rPr>
        <w:t>ML3线性电动机由MLP3初级组件（线圈）和一个或多个ML3S次级组件（磁性板）组成。由于三种尺寸（03、06、11）的变化以及长度可变的次级部件，它们涵盖了广泛的应用范围。</w:t>
      </w:r>
    </w:p>
    <w:p w:rsidR="00FC51B9" w:rsidRPr="00FC51B9" w:rsidRDefault="00FC51B9">
      <w:pPr>
        <w:rPr>
          <w:rFonts w:ascii="微软雅黑" w:eastAsia="微软雅黑" w:hAnsi="微软雅黑" w:hint="eastAsia"/>
          <w:sz w:val="18"/>
          <w:szCs w:val="18"/>
        </w:rPr>
      </w:pPr>
      <w:r w:rsidRPr="00FC51B9">
        <w:rPr>
          <w:rFonts w:ascii="微软雅黑" w:eastAsia="微软雅黑" w:hAnsi="微软雅黑"/>
          <w:sz w:val="18"/>
          <w:szCs w:val="18"/>
        </w:rPr>
        <w:t>特点</w:t>
      </w:r>
      <w:r w:rsidRPr="00FC51B9">
        <w:rPr>
          <w:rFonts w:ascii="微软雅黑" w:eastAsia="微软雅黑" w:hAnsi="微软雅黑" w:hint="eastAsia"/>
          <w:sz w:val="18"/>
          <w:szCs w:val="18"/>
        </w:rPr>
        <w:t>：</w:t>
      </w:r>
    </w:p>
    <w:p w:rsidR="00FC51B9" w:rsidRPr="00FC51B9" w:rsidRDefault="00FC51B9" w:rsidP="00FC51B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FC51B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最大力量120…4,500 N</w:t>
      </w:r>
    </w:p>
    <w:p w:rsidR="00FC51B9" w:rsidRPr="00FC51B9" w:rsidRDefault="00FC51B9" w:rsidP="00FC51B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FC51B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标称速度V </w:t>
      </w:r>
      <w:r w:rsidRPr="00FC51B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N</w:t>
      </w:r>
      <w:r w:rsidRPr="00FC51B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95 ... 650 m / min</w:t>
      </w:r>
    </w:p>
    <w:p w:rsidR="00FC51B9" w:rsidRPr="00FC51B9" w:rsidRDefault="00FC51B9" w:rsidP="00FC51B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FC51B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紧凑设计，高力密度</w:t>
      </w:r>
    </w:p>
    <w:p w:rsidR="00FC51B9" w:rsidRPr="00FC51B9" w:rsidRDefault="00FC51B9" w:rsidP="00FC51B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FC51B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高进给系统功率</w:t>
      </w:r>
    </w:p>
    <w:p w:rsidR="00FC51B9" w:rsidRPr="00FC51B9" w:rsidRDefault="00FC51B9" w:rsidP="00FC51B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FC51B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低齿槽力和力波动</w:t>
      </w:r>
    </w:p>
    <w:p w:rsidR="00FC51B9" w:rsidRPr="00FC51B9" w:rsidRDefault="00FC51B9">
      <w:pPr>
        <w:rPr>
          <w:rFonts w:ascii="微软雅黑" w:eastAsia="微软雅黑" w:hAnsi="微软雅黑"/>
          <w:sz w:val="18"/>
          <w:szCs w:val="18"/>
        </w:rPr>
      </w:pPr>
    </w:p>
    <w:sectPr w:rsidR="00FC51B9" w:rsidRPr="00FC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90F"/>
    <w:multiLevelType w:val="multilevel"/>
    <w:tmpl w:val="B44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84"/>
    <w:rsid w:val="001D1184"/>
    <w:rsid w:val="00425DC3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51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51B9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C5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51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51B9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C5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2</cp:revision>
  <dcterms:created xsi:type="dcterms:W3CDTF">2019-09-25T09:57:00Z</dcterms:created>
  <dcterms:modified xsi:type="dcterms:W3CDTF">2019-09-25T09:58:00Z</dcterms:modified>
</cp:coreProperties>
</file>